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91D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91D60" w:rsidRDefault="0093201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91D60" w:rsidRDefault="00932016">
            <w:pPr>
              <w:spacing w:after="0" w:line="240" w:lineRule="auto"/>
            </w:pPr>
            <w:r>
              <w:t>37599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91D60" w:rsidRDefault="0093201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91D60" w:rsidRDefault="00932016">
            <w:pPr>
              <w:spacing w:after="0" w:line="240" w:lineRule="auto"/>
            </w:pPr>
            <w:r>
              <w:t>STOMATOLOŠKA POLIKLINIKA SPLIT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91D60" w:rsidRDefault="0093201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91D60" w:rsidRDefault="00932016">
            <w:pPr>
              <w:spacing w:after="0" w:line="240" w:lineRule="auto"/>
            </w:pPr>
            <w:r>
              <w:t>31</w:t>
            </w:r>
          </w:p>
        </w:tc>
      </w:tr>
    </w:tbl>
    <w:p w:rsidR="00291D60" w:rsidRDefault="00932016">
      <w:r>
        <w:br/>
      </w:r>
    </w:p>
    <w:p w:rsidR="00291D60" w:rsidRDefault="0093201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91D60" w:rsidRDefault="0093201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91D60" w:rsidRDefault="0093201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2.835.783,39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2.046.309,59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72,2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2.497.119,50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2.326.331,63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280.022,04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72.791,53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119.628,30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164,3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72.791,53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119.628,30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164,3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399.650,34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 xml:space="preserve">Stomatološka poliklinika Split je za razdoblje 01.01.-31.12.2025. godine ostvarila prihode poslovanja u iznosu od 2.046.309,59 eura i rashode poslovanja u iznosu od 2.326.331,63 eura, čime je ostvaren manjak prihoda poslovanja u iznosu od 280.022,04 eura. </w:t>
      </w:r>
      <w:r>
        <w:t>U navedenom razdoblju je ostvaren manjak prihoda od nefinancijske imovine u iznosu od 119.628,30 eura. Razlog da su prihodi poslovanja ostvareni u manjem iznosu je u činjenici da su prihodi  od HZZO-a bili manji od plana za ovu godinu i iznosa ostvarenog u</w:t>
      </w:r>
      <w:r>
        <w:t xml:space="preserve"> prošloj godini i to radi velikog broja neizvršenih sati u 2025. godini zbog bolovanja, rodiljnog, roditeljskog i </w:t>
      </w:r>
      <w:r>
        <w:lastRenderedPageBreak/>
        <w:t>očinskog dopusta i nemogućnosti osiguranja zamjena za specijaliste u nedostataka takvog kadra na tržištu. Na manje prihode  utjecao je odlazak</w:t>
      </w:r>
      <w:r>
        <w:t xml:space="preserve"> dvije doktorice specijaliste, jedne u KBC Split ,a druge u privatnu ordinaciju.  Rezultat poslovanja za 2025. godinu je manjak prihoda i primitaka u visini od 399.650,34 eura. Sa prenesenim viškom prihoda poslovanja iz 2024. godine u iznosu od 632.240,90 </w:t>
      </w:r>
      <w:r>
        <w:t>eura, ukupni višak prihoda raspoloživ u sljedećem razdoblju iznosi 232.590,56 eura.</w:t>
      </w:r>
    </w:p>
    <w:p w:rsidR="00291D60" w:rsidRDefault="00932016">
      <w:r>
        <w:t> </w:t>
      </w:r>
    </w:p>
    <w:p w:rsidR="00291D60" w:rsidRDefault="00932016">
      <w:r>
        <w:br/>
      </w:r>
    </w:p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29.640,38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U 2025. godini nismo imali ovaj prihod temeljm Ugovora sa HZZ-om za financiranje pripravnika.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328.264,25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307.700,83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93,7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Zbog manje ostvarenog prihoda od osnovnog osiguranja kao posljedice manjeg izvršenja Ugovora sa HZZO-om za 2025. godinu zbog poteškoća u poslovanju ( veliki broj neizvršenih sati i nemogućnost osiguranja zamjena za doktore specijaliste zbog nedostatka kadr</w:t>
      </w:r>
      <w:r>
        <w:t>a na tržištu) , smanjen je prihod i od dopuskog osiguranja i od HZZO-a i od drugih osiguravajućih kuća.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54.052,77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60.488,97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Više ostvareni prihod odnosi se na privatni rad i usluge izvan standarda uglavnom u dentalnoj protetici.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732.700,52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238.054,96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32,5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Manje prihoda je ostvareno iz  nadležnog proračuna budući da nije bilo troškova za  specijalizante jer se novi natječaji nisu raspisali u 2025. godini. 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63.081,57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83.772,43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prihod u 2025. godini se odnosi na više prebačena i utrošena sredstva za nabavu dvije stomatološke stolice za ortodonciju i dječju stomatologiju u odnosu na prošlu godinu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1.620.175,05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1.356.288,10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Prihod ostvaren temeljem Ugovora sa HZZO-om je manji u odnosu na prethodnu godinu zbog manje fakturianih usluga kao posljedica odlaska dvije doktorice specijaliste u KBC Split i u privatnu ordinaciju te zbog velikog broja neizvršenih sati i nemogućnosti pr</w:t>
      </w:r>
      <w:r>
        <w:t>onalaska zamjena za doktore specijaliste zbog nedostatka kadra na tržištu.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</w:t>
            </w:r>
            <w:r>
              <w:rPr>
                <w:sz w:val="18"/>
              </w:rPr>
              <w:t>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127,1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rashodi u odnosu na ptrehodnu godinu su zbog tri specijastička ispita specijalizanata koji su specijalizaciju završili u 2025. godini.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13.579,79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25.931,56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prihodi su zbog nabave sitnog inventara za opremanje tri nova specijalistička tima nakon završetka specijalizacija.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846,7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rashod se odnosi na troškove objave u Narodnim novinama za postupak javne nabave u 2025. godini.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18.229,10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rashod se odnoci na veće troškove zbrinjavanja opasnog medicinskog otpada u 2025. godini.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289,6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rashod u 2025. godini se odnosi na trošak obnove licence za CAD/CAM sustav u dentalnoj tehnici.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trošak se odnosi na usluge tiskanja medicinske dokumentacije i graviranja za potrebe tri nova ugovorena specijalsitička tima.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Obzirom da nije bilo novih specijalizacija u 2025. godini, nema troškova po toj osnovi.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27.905,78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95.019,45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340,5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Veći trošak se odnosi na nabavu dvije stomatološke jedinice u 2025. godini, za dječju stomatologiju i ortodonciju i jednog kirurškog stola.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44.435,10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69.829,90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157,2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Radi opremanja tri novougovorena specijalsitička tima u 2025. godini, veći troškovi su bili u nabavci sitnog inventara za njihov rad.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4.420,04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15.153,43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342,8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Veća potraživanja se odnose na potraživanja za naknade za bolovanja koja se refundiraju od HZZO-a, a sve zbog već navedenog razloga i to velikog broja sati bolovanja  u 2025. godini.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</w:t>
            </w:r>
            <w:r>
              <w:rPr>
                <w:b/>
                <w:sz w:val="18"/>
              </w:rPr>
              <w:t>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32.897,84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64.750,45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196,8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Veće potraživanje se odnosi na bolje izvršenje tj. fakturiranje specijalističkih usluga u studenom i prosincu 2025. godine.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</w:t>
            </w:r>
            <w:r>
              <w:rPr>
                <w:sz w:val="18"/>
              </w:rPr>
              <w:t xml:space="preserve">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242.111,24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317.071,24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Isto obrazloženje kao i kod računa 165.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9.053,90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26.661,56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294,5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Zbog veće nabave stomatološkog materijala u studenom i prvoj polovici prosinca 2025. godine, veće su i obveze.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81.854,19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U 2025. godini vraćena je pozajmnica HZZO-u, a koja sredstva su nam doznačena u doba COVID-a radi normalizacije poslovanja. 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177,4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Dospjele obveze se odnose na neplaćene račune sa dospjećem do 60 dana za tri dobavljača.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122.323,12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Od navedenog iznosa, 121.729,91 euro se odnosi na godišnji ispravak vrijednosti imovine ,a 593,21 euro na rashodovanje imovine koja je neupotrebljiva i potrebno je zbrinuti kao otpad nakon obavljenog popisa imovine na 31.12.2025. godine, a koja imovina ima</w:t>
      </w:r>
      <w:r>
        <w:t xml:space="preserve"> sadašnju vrijednost.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91D60" w:rsidRDefault="0093201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81.854,19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Iznos se odnosi na povrat sredstava pozajmnice HZZO-u iz doba COVID-a.</w:t>
      </w:r>
    </w:p>
    <w:p w:rsidR="00291D60" w:rsidRDefault="00291D60"/>
    <w:p w:rsidR="00291D60" w:rsidRDefault="00932016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91D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rač.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1D6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291D6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91D60" w:rsidRDefault="0093201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91D60" w:rsidRDefault="00291D60">
      <w:pPr>
        <w:spacing w:after="0"/>
      </w:pPr>
    </w:p>
    <w:p w:rsidR="00291D60" w:rsidRDefault="00932016">
      <w:r>
        <w:t>Iznos se odnosi na obvezu prema dobavljačima za zajedničke troškove vode i smeća u istoj zgradi, za lijekove i za preglede medicine rada za zaposlenike, a kojima je dospjeće do 60 dana.</w:t>
      </w:r>
    </w:p>
    <w:p w:rsidR="00291D60" w:rsidRDefault="00291D60"/>
    <w:sectPr w:rsidR="00291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60"/>
    <w:rsid w:val="00291D60"/>
    <w:rsid w:val="0093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BA69-66E3-4333-8BE0-08B5F433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Stazić</dc:creator>
  <cp:lastModifiedBy>Svjetlana Stazić</cp:lastModifiedBy>
  <cp:revision>2</cp:revision>
  <dcterms:created xsi:type="dcterms:W3CDTF">2026-01-30T16:07:00Z</dcterms:created>
  <dcterms:modified xsi:type="dcterms:W3CDTF">2026-01-30T16:07:00Z</dcterms:modified>
</cp:coreProperties>
</file>